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16" w:rsidRPr="00A674BF" w:rsidRDefault="00734316" w:rsidP="0073431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674BF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AE5662">
        <w:rPr>
          <w:rFonts w:ascii="Times New Roman" w:hAnsi="Times New Roman" w:cs="Times New Roman"/>
          <w:sz w:val="24"/>
          <w:szCs w:val="24"/>
        </w:rPr>
        <w:t>30</w:t>
      </w:r>
      <w:r w:rsidRPr="00A674BF">
        <w:rPr>
          <w:rFonts w:ascii="Times New Roman" w:hAnsi="Times New Roman" w:cs="Times New Roman"/>
          <w:sz w:val="24"/>
          <w:szCs w:val="24"/>
        </w:rPr>
        <w:t>.08.2019</w:t>
      </w:r>
    </w:p>
    <w:p w:rsidR="00734316" w:rsidRDefault="00734316" w:rsidP="0073431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007D5" w:rsidRPr="004D2DE4" w:rsidRDefault="001A1AC3" w:rsidP="004D2DE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СТРУКТУРА</w:t>
      </w:r>
    </w:p>
    <w:p w:rsidR="004D2DE4" w:rsidRPr="00BA5247" w:rsidRDefault="001A1AC3" w:rsidP="004D2DE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регулирования в сфере аккредитации</w:t>
      </w:r>
      <w:r w:rsidR="00BA5247">
        <w:rPr>
          <w:rFonts w:ascii="Times New Roman" w:hAnsi="Times New Roman" w:cs="Times New Roman"/>
          <w:b/>
          <w:sz w:val="28"/>
          <w:szCs w:val="28"/>
        </w:rPr>
        <w:t xml:space="preserve"> в национальной системе аккредитации</w:t>
      </w:r>
    </w:p>
    <w:p w:rsidR="004D2DE4" w:rsidRDefault="004D2DE4" w:rsidP="004D2DE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0"/>
        <w:gridCol w:w="2016"/>
        <w:gridCol w:w="2105"/>
        <w:gridCol w:w="2114"/>
        <w:gridCol w:w="2920"/>
        <w:gridCol w:w="3035"/>
      </w:tblGrid>
      <w:tr w:rsidR="004D2DE4" w:rsidRPr="004D2DE4" w:rsidTr="009A1C80">
        <w:tc>
          <w:tcPr>
            <w:tcW w:w="2370" w:type="dxa"/>
          </w:tcPr>
          <w:p w:rsidR="00D85EC4" w:rsidRDefault="004D2DE4" w:rsidP="004D2D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D85EC4" w:rsidRDefault="004D2DE4" w:rsidP="004D2D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наименование </w:t>
            </w:r>
          </w:p>
          <w:p w:rsidR="004D2DE4" w:rsidRPr="004D2DE4" w:rsidRDefault="004D2DE4" w:rsidP="004D2D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016" w:type="dxa"/>
          </w:tcPr>
          <w:p w:rsidR="00D85EC4" w:rsidRDefault="004D2DE4" w:rsidP="004D2D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  <w:p w:rsidR="004D2DE4" w:rsidRPr="004D2DE4" w:rsidRDefault="004D2DE4" w:rsidP="004D2D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105" w:type="dxa"/>
          </w:tcPr>
          <w:p w:rsidR="00D85EC4" w:rsidRDefault="004D2DE4" w:rsidP="004D2D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Объекты, </w:t>
            </w:r>
          </w:p>
          <w:p w:rsidR="004D2DE4" w:rsidRPr="004D2DE4" w:rsidRDefault="004D2DE4" w:rsidP="004D2D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которые направлено регулирование (источники риска)</w:t>
            </w:r>
          </w:p>
        </w:tc>
        <w:tc>
          <w:tcPr>
            <w:tcW w:w="2114" w:type="dxa"/>
          </w:tcPr>
          <w:p w:rsidR="004D2DE4" w:rsidRDefault="004D2DE4" w:rsidP="004D2D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риски, на минимизацию которых направлено регулирование</w:t>
            </w:r>
          </w:p>
          <w:p w:rsidR="0045279E" w:rsidRPr="004D2DE4" w:rsidRDefault="0045279E" w:rsidP="004D2D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0" w:type="dxa"/>
          </w:tcPr>
          <w:p w:rsidR="004D2DE4" w:rsidRPr="004D2DE4" w:rsidRDefault="004D2DE4" w:rsidP="004527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воздействия </w:t>
            </w:r>
            <w:r w:rsidR="00EC1C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279E">
              <w:rPr>
                <w:rFonts w:ascii="Times New Roman" w:hAnsi="Times New Roman" w:cs="Times New Roman"/>
                <w:sz w:val="24"/>
                <w:szCs w:val="24"/>
              </w:rPr>
              <w:t>на риски (способ регулирования)</w:t>
            </w:r>
          </w:p>
        </w:tc>
        <w:tc>
          <w:tcPr>
            <w:tcW w:w="3035" w:type="dxa"/>
          </w:tcPr>
          <w:p w:rsidR="004D2DE4" w:rsidRPr="004D2DE4" w:rsidRDefault="004D2DE4" w:rsidP="004527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Укрупненные</w:t>
            </w:r>
            <w:r w:rsidR="0045279E">
              <w:rPr>
                <w:rFonts w:ascii="Times New Roman" w:hAnsi="Times New Roman" w:cs="Times New Roman"/>
                <w:sz w:val="24"/>
                <w:szCs w:val="24"/>
              </w:rPr>
              <w:t xml:space="preserve"> группы обязательных требований</w:t>
            </w:r>
          </w:p>
        </w:tc>
      </w:tr>
      <w:tr w:rsidR="009A1C80" w:rsidRPr="004D2DE4" w:rsidTr="009A1C80">
        <w:tc>
          <w:tcPr>
            <w:tcW w:w="2370" w:type="dxa"/>
          </w:tcPr>
          <w:p w:rsidR="009A1C80" w:rsidRDefault="009A1C80" w:rsidP="00A95F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 Федеральный закон «О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аккредитации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национальной системе аккредитации</w:t>
            </w:r>
            <w:r w:rsidRPr="00D0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отдельные законодательные акты Российской Федерации в части совершенствования порядка аккредитации»</w:t>
            </w:r>
          </w:p>
          <w:p w:rsidR="009A1C80" w:rsidRPr="004D2DE4" w:rsidRDefault="009A1C80" w:rsidP="00A95F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9A1C80" w:rsidRPr="004D2DE4" w:rsidRDefault="009A1C80" w:rsidP="00A95F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аккредитованных в национальной системе аккредитации лиц</w:t>
            </w:r>
          </w:p>
        </w:tc>
        <w:tc>
          <w:tcPr>
            <w:tcW w:w="2105" w:type="dxa"/>
            <w:vMerge w:val="restart"/>
          </w:tcPr>
          <w:p w:rsidR="009A1C80" w:rsidRPr="004D2DE4" w:rsidRDefault="009A1C80" w:rsidP="009D45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предприниматели, имеющие аккредитацию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национальной системе аккредитации лиц, либо подавшие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 аккредитации, либо аккредитация которых прекращена</w:t>
            </w:r>
          </w:p>
        </w:tc>
        <w:tc>
          <w:tcPr>
            <w:tcW w:w="2114" w:type="dxa"/>
            <w:vMerge w:val="restart"/>
          </w:tcPr>
          <w:p w:rsidR="009A1C80" w:rsidRPr="009D0E42" w:rsidRDefault="009A1C80" w:rsidP="009D0E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233">
              <w:rPr>
                <w:rFonts w:ascii="Times New Roman" w:hAnsi="Times New Roman" w:cs="Times New Roman"/>
                <w:sz w:val="24"/>
                <w:szCs w:val="24"/>
              </w:rPr>
              <w:t>Проведение работ в сфере оценки соответствия, обеспечения единства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некомпетентными организациями</w:t>
            </w:r>
            <w:r w:rsidRPr="0019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1B20">
              <w:rPr>
                <w:rFonts w:ascii="Times New Roman" w:hAnsi="Times New Roman" w:cs="Times New Roman"/>
                <w:sz w:val="24"/>
                <w:szCs w:val="24"/>
              </w:rPr>
              <w:t>т.е. не подтвердившими свою компетентность для осуществления конкретного вида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нарушением требований, ведущее к недостоверности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указанных работ и, как следствие,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Pr="009D0E42">
              <w:rPr>
                <w:rFonts w:ascii="Times New Roman" w:hAnsi="Times New Roman" w:cs="Times New Roman"/>
                <w:sz w:val="24"/>
                <w:szCs w:val="24"/>
              </w:rPr>
              <w:t>недопустим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9D0E42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E42">
              <w:rPr>
                <w:rFonts w:ascii="Times New Roman" w:hAnsi="Times New Roman" w:cs="Times New Roman"/>
                <w:sz w:val="24"/>
                <w:szCs w:val="24"/>
              </w:rPr>
              <w:t>, связанн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9D0E42">
              <w:rPr>
                <w:rFonts w:ascii="Times New Roman" w:hAnsi="Times New Roman" w:cs="Times New Roman"/>
                <w:sz w:val="24"/>
                <w:szCs w:val="24"/>
              </w:rPr>
              <w:t xml:space="preserve"> с причинением вреда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E42">
              <w:rPr>
                <w:rFonts w:ascii="Times New Roman" w:hAnsi="Times New Roman" w:cs="Times New Roman"/>
                <w:sz w:val="24"/>
                <w:szCs w:val="24"/>
              </w:rPr>
              <w:t xml:space="preserve">или здоровью граждан, имуществу физических или юридических лиц, государственному или муниципальному имуществу, окружающей среде,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E42">
              <w:rPr>
                <w:rFonts w:ascii="Times New Roman" w:hAnsi="Times New Roman" w:cs="Times New Roman"/>
                <w:sz w:val="24"/>
                <w:szCs w:val="24"/>
              </w:rPr>
              <w:t xml:space="preserve">или здоровью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E42">
              <w:rPr>
                <w:rFonts w:ascii="Times New Roman" w:hAnsi="Times New Roman" w:cs="Times New Roman"/>
                <w:sz w:val="24"/>
                <w:szCs w:val="24"/>
              </w:rPr>
              <w:t>и растений</w:t>
            </w:r>
          </w:p>
          <w:p w:rsidR="009A1C80" w:rsidRPr="004D2DE4" w:rsidRDefault="009A1C80" w:rsidP="009D0E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9A1C80" w:rsidRDefault="009A1C80" w:rsidP="00A95F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1.  </w:t>
            </w:r>
            <w:r w:rsidRPr="00A14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Аккредитация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A14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национальной системе аккредитации («разрешительный режим»)</w:t>
            </w:r>
          </w:p>
          <w:p w:rsidR="009A1C80" w:rsidRDefault="009A1C80" w:rsidP="00047C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C57">
              <w:rPr>
                <w:rFonts w:ascii="Times New Roman" w:hAnsi="Times New Roman" w:cs="Times New Roman"/>
                <w:sz w:val="24"/>
                <w:szCs w:val="24"/>
              </w:rPr>
              <w:t xml:space="preserve">ккредитация осуществляется в целях обеспечения доверия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C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57">
              <w:rPr>
                <w:rFonts w:ascii="Times New Roman" w:hAnsi="Times New Roman" w:cs="Times New Roman"/>
                <w:sz w:val="24"/>
                <w:szCs w:val="24"/>
              </w:rPr>
              <w:t>результатам оценки соответствия и создания условий для взаимного признания государствами – торговыми партнерами Российской Федерации результатов оценки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C80" w:rsidRDefault="009A1C80" w:rsidP="000C4E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0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является признанным на международном уровне механизмом оценки компетентности организаций, </w:t>
            </w:r>
            <w:r w:rsidRPr="000C4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выполняющих работы по оценке соответствия, обеспечивающим общественное доверие к надежности исследований и иных оценок, связанных с защитой жизни или здоровью граждан, окружающей среды. Институт аккредитации снимает с государства финансовое бремя по содержанию собственного пула специалистов, стимулирует конкуренцию на рынке, снимает технические барьеры в торговле. </w:t>
            </w:r>
          </w:p>
          <w:p w:rsidR="009A1C80" w:rsidRPr="000C4E80" w:rsidRDefault="009A1C80" w:rsidP="000C4E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80" w:rsidRDefault="009A1C80" w:rsidP="00047C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C57">
              <w:rPr>
                <w:rFonts w:ascii="Times New Roman" w:hAnsi="Times New Roman" w:cs="Times New Roman"/>
                <w:sz w:val="24"/>
                <w:szCs w:val="24"/>
              </w:rPr>
              <w:t xml:space="preserve">по аккредитации должна соответствовать требованиям межгосударственного стандарта ГОСТ ISO/IEC 17011-2018 «Оценка соответствия. Требования к органам по аккредитации, аккредитующим органы по оценке соответствия», введенного в 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качестве национального стандарта Российской Федерации приказом Росстандарта от 9 октября 2018 г. № 730-ст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C57">
              <w:rPr>
                <w:rFonts w:ascii="Times New Roman" w:hAnsi="Times New Roman" w:cs="Times New Roman"/>
                <w:sz w:val="24"/>
                <w:szCs w:val="24"/>
              </w:rPr>
              <w:t>и идентичного международному стандарту ISO/IEC 17011:2017 «Оценка соответствия. 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57">
              <w:rPr>
                <w:rFonts w:ascii="Times New Roman" w:hAnsi="Times New Roman" w:cs="Times New Roman"/>
                <w:sz w:val="24"/>
                <w:szCs w:val="24"/>
              </w:rPr>
              <w:t xml:space="preserve">органам по аккредитации, аккредитующим органы по оценке соответствия». Указанный стандарт устанавливает требования к компетентности, последовательности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C57">
              <w:rPr>
                <w:rFonts w:ascii="Times New Roman" w:hAnsi="Times New Roman" w:cs="Times New Roman"/>
                <w:sz w:val="24"/>
                <w:szCs w:val="24"/>
              </w:rPr>
              <w:t xml:space="preserve">и беспристрастности органов по аккредитации, проводящих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57">
              <w:rPr>
                <w:rFonts w:ascii="Times New Roman" w:hAnsi="Times New Roman" w:cs="Times New Roman"/>
                <w:sz w:val="24"/>
                <w:szCs w:val="24"/>
              </w:rPr>
              <w:t>аккредитацию органов по оценке соответствия.</w:t>
            </w:r>
          </w:p>
          <w:p w:rsidR="009A1C80" w:rsidRPr="000C4E80" w:rsidRDefault="009A1C80" w:rsidP="000C4E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4E80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руководствоваться международными стандартами и документами международных организаций по аккредитации </w:t>
            </w:r>
            <w:r w:rsidRPr="000C4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продиктована положениями Договора </w:t>
            </w:r>
            <w:r w:rsidR="001B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E80">
              <w:rPr>
                <w:rFonts w:ascii="Times New Roman" w:hAnsi="Times New Roman" w:cs="Times New Roman"/>
                <w:sz w:val="24"/>
                <w:szCs w:val="24"/>
              </w:rPr>
              <w:t xml:space="preserve">о Евразийском экономическом союзе, </w:t>
            </w:r>
            <w:r w:rsidR="001B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E80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присоединением Российской Федерации </w:t>
            </w:r>
            <w:r w:rsidR="001B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E80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международным организациям в области аккредитации, </w:t>
            </w:r>
            <w:r w:rsidR="001B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E80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Тихоокеанской организации </w:t>
            </w:r>
            <w:r w:rsidR="001B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E80">
              <w:rPr>
                <w:rFonts w:ascii="Times New Roman" w:hAnsi="Times New Roman" w:cs="Times New Roman"/>
                <w:sz w:val="24"/>
                <w:szCs w:val="24"/>
              </w:rPr>
              <w:t xml:space="preserve">по аккредитации (PAC) </w:t>
            </w:r>
            <w:r w:rsidR="001B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E80">
              <w:rPr>
                <w:rFonts w:ascii="Times New Roman" w:hAnsi="Times New Roman" w:cs="Times New Roman"/>
                <w:sz w:val="24"/>
                <w:szCs w:val="24"/>
              </w:rPr>
              <w:t xml:space="preserve">и Азиатско-Тихоокеанской организации </w:t>
            </w:r>
            <w:r w:rsidR="001B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E80">
              <w:rPr>
                <w:rFonts w:ascii="Times New Roman" w:hAnsi="Times New Roman" w:cs="Times New Roman"/>
                <w:sz w:val="24"/>
                <w:szCs w:val="24"/>
              </w:rPr>
              <w:t xml:space="preserve">по аккредитации лабораторий (APLAC) </w:t>
            </w:r>
            <w:r w:rsidR="001B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E80">
              <w:rPr>
                <w:rFonts w:ascii="Times New Roman" w:hAnsi="Times New Roman" w:cs="Times New Roman"/>
                <w:sz w:val="24"/>
                <w:szCs w:val="24"/>
              </w:rPr>
              <w:t xml:space="preserve">(в настоящее время объединены </w:t>
            </w:r>
            <w:r w:rsidRPr="000C4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новую организацию – Азиатско-Тихоокеанское объединение </w:t>
            </w:r>
            <w:r w:rsidRPr="000C4E80">
              <w:rPr>
                <w:rFonts w:ascii="Times New Roman" w:hAnsi="Times New Roman" w:cs="Times New Roman"/>
                <w:sz w:val="24"/>
                <w:szCs w:val="24"/>
              </w:rPr>
              <w:br/>
              <w:t>по аккредитации (APAC), Международной организации по аккредитации лабораторий (ILAC), Международному форуму по аккредитации (IAF), Международному форуму по аккредитации «Халяль» (IHAF).</w:t>
            </w:r>
          </w:p>
          <w:p w:rsidR="009A1C80" w:rsidRPr="000C4E80" w:rsidRDefault="009A1C80" w:rsidP="00A95F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  </w:t>
            </w:r>
            <w:r w:rsidRPr="000C4E8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0C4E8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</w:t>
            </w:r>
          </w:p>
          <w:p w:rsidR="009A1C80" w:rsidRDefault="009A1C80" w:rsidP="00A95F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является основным видом деятельности аккредитованных лиц. Так, исходя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 xml:space="preserve">из статистических данных, большую часть аккредитованных лиц (более 70%) составляют именно органы по оценке соответствия: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>по сертификации, испытательные лаборатории, органы инспекции.</w:t>
            </w:r>
          </w:p>
          <w:p w:rsidR="009A1C80" w:rsidRPr="00AD20BC" w:rsidRDefault="009A1C80" w:rsidP="00AD20B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A1C80" w:rsidRDefault="009A1C80" w:rsidP="00A95F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hAnsi="Times New Roman" w:cs="Times New Roman"/>
                <w:sz w:val="24"/>
                <w:szCs w:val="24"/>
              </w:rPr>
              <w:t>От того, насколько компетентно проведено подтверждение соответствия продукции требованиям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5EC4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безопасность жизни или здоровья граждан, защита имущества физических или юридических лиц, государственного или муниципального имущества, безопасность окружающей среды, жизни или здоровья животных и растений.</w:t>
            </w:r>
          </w:p>
          <w:p w:rsidR="009A1C80" w:rsidRPr="00AD20BC" w:rsidRDefault="009A1C80" w:rsidP="00AD20B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A1C80" w:rsidRDefault="009A1C80" w:rsidP="00A95F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Аккредитация обеспечивает уверенность правительства, бизнеса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B3B">
              <w:rPr>
                <w:rFonts w:ascii="Times New Roman" w:hAnsi="Times New Roman" w:cs="Times New Roman"/>
                <w:sz w:val="24"/>
                <w:szCs w:val="24"/>
              </w:rPr>
              <w:t xml:space="preserve">и потребителя в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B3B">
              <w:rPr>
                <w:rFonts w:ascii="Times New Roman" w:hAnsi="Times New Roman" w:cs="Times New Roman"/>
                <w:sz w:val="24"/>
                <w:szCs w:val="24"/>
              </w:rPr>
              <w:t xml:space="preserve">что организации, предоставляющие услуги по оценке (подтверждению) соответствия, обладают необходимой компетентностью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B3B">
              <w:rPr>
                <w:rFonts w:ascii="Times New Roman" w:hAnsi="Times New Roman" w:cs="Times New Roman"/>
                <w:sz w:val="24"/>
                <w:szCs w:val="24"/>
              </w:rPr>
              <w:t xml:space="preserve">и беспристрастностью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B3B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такой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B3B">
              <w:rPr>
                <w:rFonts w:ascii="Times New Roman" w:hAnsi="Times New Roman" w:cs="Times New Roman"/>
                <w:sz w:val="24"/>
                <w:szCs w:val="24"/>
              </w:rPr>
              <w:t xml:space="preserve">что подтверждается выполнением международных стандартов и требований. Аккредитация помогает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B3B">
              <w:rPr>
                <w:rFonts w:ascii="Times New Roman" w:hAnsi="Times New Roman" w:cs="Times New Roman"/>
                <w:sz w:val="24"/>
                <w:szCs w:val="24"/>
              </w:rPr>
              <w:t xml:space="preserve">в поддержании доверия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B3B">
              <w:rPr>
                <w:rFonts w:ascii="Times New Roman" w:hAnsi="Times New Roman" w:cs="Times New Roman"/>
                <w:sz w:val="24"/>
                <w:szCs w:val="24"/>
              </w:rPr>
              <w:t>и функциональности товаров и услуг.</w:t>
            </w:r>
          </w:p>
          <w:p w:rsidR="009A1C80" w:rsidRPr="00AD20BC" w:rsidRDefault="009A1C80" w:rsidP="00AD20B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A1C80" w:rsidRDefault="009A1C80" w:rsidP="00A95F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 xml:space="preserve">Для заинтересованных сторон важно 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 xml:space="preserve">что органы по оценке соответствия являются компетентными для выполнения своих задач. По этой причине существует возрастающая 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 xml:space="preserve">в беспристрастном подтверждении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компетентности.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 xml:space="preserve">Такое подтверждение осуществляется органами по аккредитации, являющимися беспристрастными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 xml:space="preserve">и независимыми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органам по оценке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 xml:space="preserve">и клиентам этих органов. Органы по аккредитации обычно работают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 xml:space="preserve">на бесприбыльной основе и проводят регулярные оценки органов по оценке соответствия для обеспечения уверенности в том, что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>по оценке соответствия соответствуют подходящим международным стандартам и другим нормативным документам.</w:t>
            </w:r>
          </w:p>
          <w:p w:rsidR="009A1C80" w:rsidRPr="007C080E" w:rsidRDefault="009A1C80" w:rsidP="007C08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A1C80" w:rsidRPr="00C005F5" w:rsidRDefault="009A1C80" w:rsidP="00A95F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  </w:t>
            </w:r>
            <w:r w:rsidRPr="00734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C005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беспечение</w:t>
            </w:r>
            <w:proofErr w:type="gramEnd"/>
            <w:r w:rsidRPr="00C005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единства измерений</w:t>
            </w:r>
          </w:p>
          <w:p w:rsidR="009A1C80" w:rsidRDefault="009A1C80" w:rsidP="00C005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 xml:space="preserve">и оказание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единства измерений является одним из видов деятельности </w:t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аккредитованных лиц. Исходя из статистических данных организации, аккредитованные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>в области обеспечения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инства измерений, составляют 20</w:t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85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аккредитованных лиц.</w:t>
            </w:r>
          </w:p>
          <w:p w:rsidR="009A1C80" w:rsidRPr="00AD20BC" w:rsidRDefault="009A1C80" w:rsidP="00AD20B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A1C80" w:rsidRDefault="009A1C80" w:rsidP="00C005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hAnsi="Times New Roman" w:cs="Times New Roman"/>
                <w:sz w:val="24"/>
                <w:szCs w:val="24"/>
              </w:rPr>
              <w:t xml:space="preserve">От того, насколько точными, объективными, достоверными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EC4">
              <w:rPr>
                <w:rFonts w:ascii="Times New Roman" w:hAnsi="Times New Roman" w:cs="Times New Roman"/>
                <w:sz w:val="24"/>
                <w:szCs w:val="24"/>
              </w:rPr>
              <w:t xml:space="preserve">и сопоставимыми будут результаты измерений, применяемых в различных отраслях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EC4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государственного управления, зависит защита жизни и здоровья граждан, охрана окружающей среды, животного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EC4">
              <w:rPr>
                <w:rFonts w:ascii="Times New Roman" w:hAnsi="Times New Roman" w:cs="Times New Roman"/>
                <w:sz w:val="24"/>
                <w:szCs w:val="24"/>
              </w:rPr>
              <w:t xml:space="preserve">и растительного мира, обеспечение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EC4">
              <w:rPr>
                <w:rFonts w:ascii="Times New Roman" w:hAnsi="Times New Roman" w:cs="Times New Roman"/>
                <w:sz w:val="24"/>
                <w:szCs w:val="24"/>
              </w:rPr>
              <w:t>и безопасности государства,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EC4">
              <w:rPr>
                <w:rFonts w:ascii="Times New Roman" w:hAnsi="Times New Roman" w:cs="Times New Roman"/>
                <w:sz w:val="24"/>
                <w:szCs w:val="24"/>
              </w:rPr>
              <w:t>том числе экономической безопасности.</w:t>
            </w:r>
          </w:p>
          <w:p w:rsidR="009A1C80" w:rsidRPr="00AD20BC" w:rsidRDefault="009A1C80" w:rsidP="00AD20B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A1C80" w:rsidRDefault="009A1C80" w:rsidP="00C005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B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в области обеспечения единства измерений </w:t>
            </w:r>
            <w:r w:rsidRPr="00A3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в целях официального признания компетентности таких организаций выполнять работы и (или) оказывать услуги по обеспечению единства измерений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B3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B3B">
              <w:rPr>
                <w:rFonts w:ascii="Times New Roman" w:hAnsi="Times New Roman" w:cs="Times New Roman"/>
                <w:sz w:val="24"/>
                <w:szCs w:val="24"/>
              </w:rPr>
              <w:t>с Федеральным законом от 26 июня 2008 г. № 102-ФЗ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B3B">
              <w:rPr>
                <w:rFonts w:ascii="Times New Roman" w:hAnsi="Times New Roman" w:cs="Times New Roman"/>
                <w:sz w:val="24"/>
                <w:szCs w:val="24"/>
              </w:rPr>
              <w:t>обеспечении единства измерений»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C80" w:rsidRDefault="009A1C80" w:rsidP="00A95F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80" w:rsidRPr="00A14B19" w:rsidRDefault="009A1C80" w:rsidP="00A95F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6AF1">
              <w:rPr>
                <w:rFonts w:ascii="Times New Roman" w:hAnsi="Times New Roman" w:cs="Times New Roman"/>
                <w:sz w:val="24"/>
                <w:szCs w:val="24"/>
              </w:rPr>
              <w:t>2.  </w:t>
            </w:r>
            <w:r w:rsidRPr="00A14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государственный контроль за деятельностью аккредитованных лиц</w:t>
            </w:r>
          </w:p>
          <w:p w:rsidR="009A1C80" w:rsidRDefault="009A1C80" w:rsidP="00A95F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6B74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56B7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56B74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6B74"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аккредитованных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обеспечить </w:t>
            </w:r>
            <w:r w:rsidRPr="00356B7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выявление и пресечение нарушения аккредитованными лицами обязательных требований, а также принятие предусмотренных законодательством </w:t>
            </w:r>
            <w:r w:rsidRPr="0035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мер по пресечению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6B74">
              <w:rPr>
                <w:rFonts w:ascii="Times New Roman" w:hAnsi="Times New Roman" w:cs="Times New Roman"/>
                <w:sz w:val="24"/>
                <w:szCs w:val="24"/>
              </w:rPr>
              <w:t>и (или) устранению последствий выявленных нарушений этих требований</w:t>
            </w:r>
          </w:p>
          <w:p w:rsidR="009A1C80" w:rsidRPr="004D2DE4" w:rsidRDefault="009A1C80" w:rsidP="004864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A1C80" w:rsidRPr="004D2DE4" w:rsidRDefault="00DC3261" w:rsidP="008F61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</w:t>
            </w:r>
            <w:r w:rsidR="008F614E">
              <w:rPr>
                <w:rFonts w:ascii="Times New Roman" w:hAnsi="Times New Roman" w:cs="Times New Roman"/>
                <w:sz w:val="24"/>
                <w:szCs w:val="24"/>
              </w:rPr>
              <w:t xml:space="preserve">(основополагающие)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национальной системы аккредитации,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61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ю</w:t>
            </w:r>
            <w:r w:rsidRPr="00DC3261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261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261">
              <w:rPr>
                <w:rFonts w:ascii="Times New Roman" w:hAnsi="Times New Roman" w:cs="Times New Roman"/>
                <w:sz w:val="24"/>
                <w:szCs w:val="24"/>
              </w:rPr>
              <w:t>и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26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C3261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261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аккредитацию </w:t>
            </w:r>
            <w:r w:rsidRPr="00DC3261">
              <w:rPr>
                <w:rFonts w:ascii="Times New Roman" w:hAnsi="Times New Roman" w:cs="Times New Roman"/>
                <w:sz w:val="24"/>
                <w:szCs w:val="24"/>
              </w:rPr>
              <w:br/>
              <w:t>в национальной системе аккредитации лиц, либо подавши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261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</w:t>
            </w:r>
            <w:r w:rsidRPr="00DC3261">
              <w:rPr>
                <w:rFonts w:ascii="Times New Roman" w:hAnsi="Times New Roman" w:cs="Times New Roman"/>
                <w:sz w:val="24"/>
                <w:szCs w:val="24"/>
              </w:rPr>
              <w:br/>
              <w:t>об аккредитации, либо аккредитация которых прекращена</w:t>
            </w:r>
          </w:p>
        </w:tc>
      </w:tr>
      <w:tr w:rsidR="009A1C80" w:rsidRPr="004D2DE4" w:rsidTr="009A1C80">
        <w:tc>
          <w:tcPr>
            <w:tcW w:w="2370" w:type="dxa"/>
          </w:tcPr>
          <w:p w:rsidR="009A1C80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 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ведения реестров сертификатов соответствия, предоставления содержащихся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указанных реестрах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оплаты за их предоставление»</w:t>
            </w:r>
          </w:p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A1C80" w:rsidRPr="004D2DE4" w:rsidRDefault="00BC317A" w:rsidP="004D0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сведений, содержащихся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реестрах, к процедурам формирования и ведения реестров</w:t>
            </w:r>
            <w:r w:rsidR="00FD5799">
              <w:rPr>
                <w:rFonts w:ascii="Times New Roman" w:hAnsi="Times New Roman" w:cs="Times New Roman"/>
                <w:sz w:val="24"/>
                <w:szCs w:val="24"/>
              </w:rPr>
              <w:t xml:space="preserve">, соблюдение </w:t>
            </w:r>
            <w:r w:rsidR="00FD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необходимо аккредитованными лицами в целях исключения </w:t>
            </w:r>
            <w:r w:rsidR="004D059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правил выполнения работ </w:t>
            </w:r>
            <w:r w:rsidR="004D059C">
              <w:rPr>
                <w:rFonts w:ascii="Times New Roman" w:hAnsi="Times New Roman" w:cs="Times New Roman"/>
                <w:sz w:val="24"/>
                <w:szCs w:val="24"/>
              </w:rPr>
              <w:br/>
              <w:t>по сертификации</w:t>
            </w:r>
          </w:p>
        </w:tc>
      </w:tr>
      <w:tr w:rsidR="009A1C80" w:rsidRPr="004D2DE4" w:rsidTr="009A1C80">
        <w:tc>
          <w:tcPr>
            <w:tcW w:w="2370" w:type="dxa"/>
          </w:tcPr>
          <w:p w:rsidR="009A1C80" w:rsidRPr="001603CD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 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</w:t>
            </w:r>
            <w:r w:rsidRPr="001603CD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C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подтверждения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A1C80" w:rsidRDefault="00253EDF" w:rsidP="00253E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процедурам обязательного подтверждения соответствия,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порядку выдачи, приостановления, возобновления, прекращения действия сертификатов соответствия</w:t>
            </w:r>
          </w:p>
          <w:p w:rsidR="00253EDF" w:rsidRPr="004D2DE4" w:rsidRDefault="00253EDF" w:rsidP="00253E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80" w:rsidRPr="004D2DE4" w:rsidTr="009A1C80">
        <w:tc>
          <w:tcPr>
            <w:tcW w:w="2370" w:type="dxa"/>
          </w:tcPr>
          <w:p w:rsidR="009A1C80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  Приказ Минэкономразвития России «Об утверждении критериев аккредитации, перечня документов, </w:t>
            </w:r>
            <w:r w:rsidRPr="003E6A1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соответствие заявителя, аккредитованного </w:t>
            </w:r>
            <w:r w:rsidRPr="003E6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 критериям аккредитации,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A1F">
              <w:rPr>
                <w:rFonts w:ascii="Times New Roman" w:hAnsi="Times New Roman" w:cs="Times New Roman"/>
                <w:sz w:val="24"/>
                <w:szCs w:val="24"/>
              </w:rPr>
              <w:t xml:space="preserve">и перечня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A1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стандартизации, соблюдение требований которых заявителями, аккредитованными лицами обеспечивает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A1F">
              <w:rPr>
                <w:rFonts w:ascii="Times New Roman" w:hAnsi="Times New Roman" w:cs="Times New Roman"/>
                <w:sz w:val="24"/>
                <w:szCs w:val="24"/>
              </w:rPr>
              <w:t>их соответствие критериям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A1C80" w:rsidRDefault="00F401F5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5">
              <w:rPr>
                <w:rFonts w:ascii="Times New Roman" w:hAnsi="Times New Roman" w:cs="Times New Roman"/>
                <w:sz w:val="24"/>
                <w:szCs w:val="24"/>
              </w:rPr>
              <w:t>Основной массив обязательных требований, которым должны соответствовать аккредитованные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01F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Минэкономразвития России на основании международных стандартов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1F5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r w:rsidRPr="00F401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заинтересованными федеральными органами исполнительной власти</w:t>
            </w:r>
            <w:r w:rsidR="00970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864" w:rsidRDefault="00970864" w:rsidP="009708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новой структуре регулирования предлагается:</w:t>
            </w:r>
          </w:p>
          <w:p w:rsidR="00970864" w:rsidRPr="00970864" w:rsidRDefault="00970864" w:rsidP="009708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970864">
              <w:rPr>
                <w:rFonts w:ascii="Times New Roman" w:hAnsi="Times New Roman" w:cs="Times New Roman"/>
                <w:sz w:val="24"/>
                <w:szCs w:val="24"/>
              </w:rPr>
              <w:t xml:space="preserve">для сферы добровольной оценки соответствия ограничиться прямым применением положений соответствующих стандартов,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864">
              <w:rPr>
                <w:rFonts w:ascii="Times New Roman" w:hAnsi="Times New Roman" w:cs="Times New Roman"/>
                <w:sz w:val="24"/>
                <w:szCs w:val="24"/>
              </w:rPr>
              <w:t xml:space="preserve">с установлением минимально допустимых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864">
              <w:rPr>
                <w:rFonts w:ascii="Times New Roman" w:hAnsi="Times New Roman" w:cs="Times New Roman"/>
                <w:sz w:val="24"/>
                <w:szCs w:val="24"/>
              </w:rPr>
              <w:t>в целях соблюдения положений законодательства Российской Федерации;</w:t>
            </w:r>
          </w:p>
          <w:p w:rsidR="00970864" w:rsidRDefault="00970864" w:rsidP="009708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970864">
              <w:rPr>
                <w:rFonts w:ascii="Times New Roman" w:hAnsi="Times New Roman" w:cs="Times New Roman"/>
                <w:sz w:val="24"/>
                <w:szCs w:val="24"/>
              </w:rPr>
              <w:t xml:space="preserve">для сферы обязательной оценки соответствия, помимо необходимости прямого применения положений соответствующих стандартов, установить дополнительные требования по сферам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864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степени риска причинения вреда ввиду ненадлежащего </w:t>
            </w:r>
            <w:r w:rsidRPr="00970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 по оценке соответствия)</w:t>
            </w:r>
          </w:p>
          <w:p w:rsidR="00970864" w:rsidRPr="004D2DE4" w:rsidRDefault="00970864" w:rsidP="009708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80" w:rsidRPr="004D2DE4" w:rsidTr="009A1C80">
        <w:tc>
          <w:tcPr>
            <w:tcW w:w="2370" w:type="dxa"/>
          </w:tcPr>
          <w:p w:rsidR="009A1C80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  Приказ Минэкономразвития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5C240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407">
              <w:rPr>
                <w:rFonts w:ascii="Times New Roman" w:hAnsi="Times New Roman" w:cs="Times New Roman"/>
                <w:sz w:val="24"/>
                <w:szCs w:val="24"/>
              </w:rPr>
              <w:t xml:space="preserve">о составе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40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деятельности аккредитованных лиц, об изменениях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407">
              <w:rPr>
                <w:rFonts w:ascii="Times New Roman" w:hAnsi="Times New Roman" w:cs="Times New Roman"/>
                <w:sz w:val="24"/>
                <w:szCs w:val="24"/>
              </w:rPr>
              <w:t xml:space="preserve">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407">
              <w:rPr>
                <w:rFonts w:ascii="Times New Roman" w:hAnsi="Times New Roman" w:cs="Times New Roman"/>
                <w:sz w:val="24"/>
                <w:szCs w:val="24"/>
              </w:rPr>
              <w:t xml:space="preserve">и о компетентности этих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407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 технической оснащенности, представляемых аккредитованными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407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Федеральную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407">
              <w:rPr>
                <w:rFonts w:ascii="Times New Roman" w:hAnsi="Times New Roman" w:cs="Times New Roman"/>
                <w:sz w:val="24"/>
                <w:szCs w:val="24"/>
              </w:rPr>
              <w:t xml:space="preserve">по аккредитации,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407">
              <w:rPr>
                <w:rFonts w:ascii="Times New Roman" w:hAnsi="Times New Roman" w:cs="Times New Roman"/>
                <w:sz w:val="24"/>
                <w:szCs w:val="24"/>
              </w:rPr>
              <w:t xml:space="preserve">и сроках представления аккредитованными лицами таких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407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Федеральную </w:t>
            </w:r>
            <w:r w:rsidRPr="005C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407">
              <w:rPr>
                <w:rFonts w:ascii="Times New Roman" w:hAnsi="Times New Roman" w:cs="Times New Roman"/>
                <w:sz w:val="24"/>
                <w:szCs w:val="24"/>
              </w:rPr>
              <w:t>по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5315B" w:rsidRDefault="0045315B" w:rsidP="004531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</w:t>
            </w:r>
            <w:r w:rsidRPr="0045315B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результатах деятельности аккредитованных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315B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315B">
              <w:rPr>
                <w:rFonts w:ascii="Times New Roman" w:hAnsi="Times New Roman" w:cs="Times New Roman"/>
                <w:sz w:val="24"/>
                <w:szCs w:val="24"/>
              </w:rPr>
              <w:t xml:space="preserve">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315B">
              <w:rPr>
                <w:rFonts w:ascii="Times New Roman" w:hAnsi="Times New Roman" w:cs="Times New Roman"/>
                <w:sz w:val="24"/>
                <w:szCs w:val="24"/>
              </w:rPr>
              <w:t xml:space="preserve">и о компетентности этих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315B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 технической оснащенности, представляемых аккредитованными лицами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орган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аккредитации</w:t>
            </w:r>
            <w:r w:rsidRPr="0045315B">
              <w:rPr>
                <w:rFonts w:ascii="Times New Roman" w:hAnsi="Times New Roman" w:cs="Times New Roman"/>
                <w:sz w:val="24"/>
                <w:szCs w:val="24"/>
              </w:rPr>
              <w:t>,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15B">
              <w:rPr>
                <w:rFonts w:ascii="Times New Roman" w:hAnsi="Times New Roman" w:cs="Times New Roman"/>
                <w:sz w:val="24"/>
                <w:szCs w:val="24"/>
              </w:rPr>
              <w:t xml:space="preserve"> и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315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аккредитованными лицами таких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31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орган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аккредитаци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2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6FF" w:rsidRPr="0045315B" w:rsidRDefault="003326FF" w:rsidP="004531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Pr="003326F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требования по предоставлению отчетности со стороны аккредитованных лиц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6FF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6FF">
              <w:rPr>
                <w:rFonts w:ascii="Times New Roman" w:hAnsi="Times New Roman" w:cs="Times New Roman"/>
                <w:sz w:val="24"/>
                <w:szCs w:val="24"/>
              </w:rPr>
              <w:t xml:space="preserve">как от сферы оценки соответствия (добровольная, </w:t>
            </w:r>
            <w:r w:rsidRPr="0033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обязательная), так и от сферы деятельности соответствующих органов по оценке соответствия</w:t>
            </w:r>
          </w:p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80" w:rsidRPr="004D2DE4" w:rsidTr="009A1C80">
        <w:tc>
          <w:tcPr>
            <w:tcW w:w="2370" w:type="dxa"/>
          </w:tcPr>
          <w:p w:rsidR="009A1C80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  Приказ Минэкономразвития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Порядка регистрации деклараций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Порядка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ведения реестров деклараций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соответствии»</w:t>
            </w:r>
          </w:p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62FB0" w:rsidRPr="00162FB0" w:rsidRDefault="00162FB0" w:rsidP="00162F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правил регистрации деклараций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соответствии, а также </w:t>
            </w:r>
            <w:r w:rsidRPr="00162FB0">
              <w:rPr>
                <w:rFonts w:ascii="Times New Roman" w:hAnsi="Times New Roman" w:cs="Times New Roman"/>
                <w:sz w:val="24"/>
                <w:szCs w:val="24"/>
              </w:rPr>
              <w:t xml:space="preserve">правил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FB0">
              <w:rPr>
                <w:rFonts w:ascii="Times New Roman" w:hAnsi="Times New Roman" w:cs="Times New Roman"/>
                <w:sz w:val="24"/>
                <w:szCs w:val="24"/>
              </w:rPr>
              <w:t>и ведения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62FB0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FB0">
              <w:rPr>
                <w:rFonts w:ascii="Times New Roman" w:hAnsi="Times New Roman" w:cs="Times New Roman"/>
                <w:sz w:val="24"/>
                <w:szCs w:val="24"/>
              </w:rPr>
              <w:t>о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FB0">
              <w:rPr>
                <w:rFonts w:ascii="Times New Roman" w:hAnsi="Times New Roman" w:cs="Times New Roman"/>
                <w:sz w:val="24"/>
                <w:szCs w:val="24"/>
              </w:rPr>
              <w:t>предоставления содержащихся в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62FB0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62FB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в том числе правил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FB0">
              <w:rPr>
                <w:rFonts w:ascii="Times New Roman" w:hAnsi="Times New Roman" w:cs="Times New Roman"/>
                <w:sz w:val="24"/>
                <w:szCs w:val="24"/>
              </w:rPr>
              <w:t>в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62FB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FB0">
              <w:rPr>
                <w:rFonts w:ascii="Times New Roman" w:hAnsi="Times New Roman" w:cs="Times New Roman"/>
                <w:sz w:val="24"/>
                <w:szCs w:val="24"/>
              </w:rPr>
              <w:t xml:space="preserve">о декларациях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FB0">
              <w:rPr>
                <w:rFonts w:ascii="Times New Roman" w:hAnsi="Times New Roman" w:cs="Times New Roman"/>
                <w:sz w:val="24"/>
                <w:szCs w:val="24"/>
              </w:rPr>
              <w:t>о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FB0">
              <w:rPr>
                <w:rFonts w:ascii="Times New Roman" w:hAnsi="Times New Roman" w:cs="Times New Roman"/>
                <w:sz w:val="24"/>
                <w:szCs w:val="24"/>
              </w:rPr>
              <w:t>о приостановлении, возобновлении или прекращении их действия</w:t>
            </w:r>
          </w:p>
          <w:p w:rsidR="00162FB0" w:rsidRPr="004D2DE4" w:rsidRDefault="00162FB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80" w:rsidRPr="004D2DE4" w:rsidTr="009A1C80">
        <w:tc>
          <w:tcPr>
            <w:tcW w:w="2370" w:type="dxa"/>
          </w:tcPr>
          <w:p w:rsidR="009A1C80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  Приказ Минэкономразвития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C3C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C3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изображения знака национальной системы аккредитации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C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C3C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применения </w:t>
            </w:r>
            <w:r w:rsidRPr="00D03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знака национальной системы аккредитации»</w:t>
            </w:r>
          </w:p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A1C80" w:rsidRPr="004D2DE4" w:rsidRDefault="00442771" w:rsidP="00E710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условиям </w:t>
            </w:r>
            <w:r w:rsidR="00E71065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порядку нанесения, к выдаче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="00E71065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3436B4">
              <w:rPr>
                <w:rFonts w:ascii="Times New Roman" w:hAnsi="Times New Roman" w:cs="Times New Roman"/>
                <w:sz w:val="24"/>
                <w:szCs w:val="24"/>
              </w:rPr>
              <w:t xml:space="preserve"> знака </w:t>
            </w:r>
            <w:r w:rsidR="003436B4" w:rsidRPr="00D03C3C">
              <w:rPr>
                <w:rFonts w:ascii="Times New Roman" w:hAnsi="Times New Roman" w:cs="Times New Roman"/>
                <w:sz w:val="24"/>
                <w:szCs w:val="24"/>
              </w:rPr>
              <w:t>национальной системы аккредитации</w:t>
            </w:r>
          </w:p>
        </w:tc>
      </w:tr>
      <w:tr w:rsidR="009A1C80" w:rsidRPr="004D2DE4" w:rsidTr="009A1C80">
        <w:tc>
          <w:tcPr>
            <w:tcW w:w="2370" w:type="dxa"/>
          </w:tcPr>
          <w:p w:rsidR="009A1C80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  Приказ Минпромторга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формы сертификата соответствия продукции требованиям технических регламентов»</w:t>
            </w:r>
          </w:p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A1C80" w:rsidRPr="004D2DE4" w:rsidRDefault="008F2DAD" w:rsidP="00F477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3C1CF5">
              <w:rPr>
                <w:rFonts w:ascii="Times New Roman" w:hAnsi="Times New Roman" w:cs="Times New Roman"/>
                <w:sz w:val="24"/>
                <w:szCs w:val="24"/>
              </w:rPr>
              <w:t xml:space="preserve"> формы сертификата соответствия, в </w:t>
            </w:r>
            <w:proofErr w:type="spellStart"/>
            <w:r w:rsidR="003C1CF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C1CF5">
              <w:rPr>
                <w:rFonts w:ascii="Times New Roman" w:hAnsi="Times New Roman" w:cs="Times New Roman"/>
                <w:sz w:val="24"/>
                <w:szCs w:val="24"/>
              </w:rPr>
              <w:t xml:space="preserve">. состава сведений, </w:t>
            </w:r>
            <w:r w:rsidR="00F477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C1CF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r w:rsidR="00F477D0">
              <w:rPr>
                <w:rFonts w:ascii="Times New Roman" w:hAnsi="Times New Roman" w:cs="Times New Roman"/>
                <w:sz w:val="24"/>
                <w:szCs w:val="24"/>
              </w:rPr>
              <w:t>(правил)</w:t>
            </w:r>
            <w:r w:rsidR="00F4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7D0">
              <w:rPr>
                <w:rFonts w:ascii="Times New Roman" w:hAnsi="Times New Roman" w:cs="Times New Roman"/>
                <w:sz w:val="24"/>
                <w:szCs w:val="24"/>
              </w:rPr>
              <w:br/>
              <w:t>по заполнению</w:t>
            </w:r>
          </w:p>
        </w:tc>
      </w:tr>
      <w:tr w:rsidR="009A1C80" w:rsidRPr="004D2DE4" w:rsidTr="009A1C80">
        <w:tc>
          <w:tcPr>
            <w:tcW w:w="2370" w:type="dxa"/>
          </w:tcPr>
          <w:p w:rsidR="009A1C80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  Приказ Минпромторга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6A041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поверки средств измерений,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418">
              <w:rPr>
                <w:rFonts w:ascii="Times New Roman" w:hAnsi="Times New Roman" w:cs="Times New Roman"/>
                <w:sz w:val="24"/>
                <w:szCs w:val="24"/>
              </w:rPr>
              <w:t xml:space="preserve">к знаку поверки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41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содержанию свидетельства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418">
              <w:rPr>
                <w:rFonts w:ascii="Times New Roman" w:hAnsi="Times New Roman" w:cs="Times New Roman"/>
                <w:sz w:val="24"/>
                <w:szCs w:val="24"/>
              </w:rPr>
              <w:t>о поверке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9A1C80" w:rsidRPr="004D2DE4" w:rsidRDefault="009A1C80" w:rsidP="000276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A1C80" w:rsidRPr="004D2DE4" w:rsidRDefault="008F2DAD" w:rsidP="008F2D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правил</w:t>
            </w:r>
            <w:r w:rsidRPr="008F2D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поверки средств измерений,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DAD">
              <w:rPr>
                <w:rFonts w:ascii="Times New Roman" w:hAnsi="Times New Roman" w:cs="Times New Roman"/>
                <w:sz w:val="24"/>
                <w:szCs w:val="24"/>
              </w:rPr>
              <w:t xml:space="preserve"> к знаку поверки и содержанию свидетельства о поверке</w:t>
            </w:r>
          </w:p>
        </w:tc>
      </w:tr>
    </w:tbl>
    <w:p w:rsidR="00A25E67" w:rsidRDefault="00A25E67" w:rsidP="00C24CF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5E67" w:rsidRDefault="00A25E67" w:rsidP="00C24CF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4CF0" w:rsidRDefault="00C24CF0" w:rsidP="00C24CF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C24CF0" w:rsidSect="004D2DE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9A" w:rsidRDefault="0035389A" w:rsidP="00B40099">
      <w:pPr>
        <w:spacing w:after="0" w:line="240" w:lineRule="auto"/>
      </w:pPr>
      <w:r>
        <w:separator/>
      </w:r>
    </w:p>
  </w:endnote>
  <w:endnote w:type="continuationSeparator" w:id="0">
    <w:p w:rsidR="0035389A" w:rsidRDefault="0035389A" w:rsidP="00B4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9A" w:rsidRDefault="0035389A" w:rsidP="00B40099">
      <w:pPr>
        <w:spacing w:after="0" w:line="240" w:lineRule="auto"/>
      </w:pPr>
      <w:r>
        <w:separator/>
      </w:r>
    </w:p>
  </w:footnote>
  <w:footnote w:type="continuationSeparator" w:id="0">
    <w:p w:rsidR="0035389A" w:rsidRDefault="0035389A" w:rsidP="00B4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25978"/>
      <w:docPartObj>
        <w:docPartGallery w:val="Page Numbers (Top of Page)"/>
        <w:docPartUnique/>
      </w:docPartObj>
    </w:sdtPr>
    <w:sdtEndPr/>
    <w:sdtContent>
      <w:p w:rsidR="00F55A0B" w:rsidRDefault="00F55A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79E">
          <w:rPr>
            <w:noProof/>
          </w:rPr>
          <w:t>8</w:t>
        </w:r>
        <w:r>
          <w:fldChar w:fldCharType="end"/>
        </w:r>
      </w:p>
    </w:sdtContent>
  </w:sdt>
  <w:p w:rsidR="00B40099" w:rsidRDefault="00B400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E75"/>
    <w:multiLevelType w:val="multilevel"/>
    <w:tmpl w:val="5C28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37DC4"/>
    <w:multiLevelType w:val="multilevel"/>
    <w:tmpl w:val="2F90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4E"/>
    <w:rsid w:val="000031FF"/>
    <w:rsid w:val="0000406D"/>
    <w:rsid w:val="000104AA"/>
    <w:rsid w:val="00016581"/>
    <w:rsid w:val="00020303"/>
    <w:rsid w:val="000276F8"/>
    <w:rsid w:val="00047242"/>
    <w:rsid w:val="00047C57"/>
    <w:rsid w:val="00084EB5"/>
    <w:rsid w:val="000C4E80"/>
    <w:rsid w:val="00100491"/>
    <w:rsid w:val="001051F9"/>
    <w:rsid w:val="0012570B"/>
    <w:rsid w:val="00130535"/>
    <w:rsid w:val="00133DAE"/>
    <w:rsid w:val="001603CD"/>
    <w:rsid w:val="00162739"/>
    <w:rsid w:val="00162FB0"/>
    <w:rsid w:val="00162FDE"/>
    <w:rsid w:val="001637D3"/>
    <w:rsid w:val="00182F93"/>
    <w:rsid w:val="00186D69"/>
    <w:rsid w:val="00191A4F"/>
    <w:rsid w:val="00191B20"/>
    <w:rsid w:val="00196C04"/>
    <w:rsid w:val="001A1AC3"/>
    <w:rsid w:val="001B1B4F"/>
    <w:rsid w:val="001B35F6"/>
    <w:rsid w:val="001D1985"/>
    <w:rsid w:val="001E6C31"/>
    <w:rsid w:val="001F21F9"/>
    <w:rsid w:val="002059D6"/>
    <w:rsid w:val="002110A3"/>
    <w:rsid w:val="002122E0"/>
    <w:rsid w:val="00213A7C"/>
    <w:rsid w:val="00213FF5"/>
    <w:rsid w:val="002171DC"/>
    <w:rsid w:val="002316D8"/>
    <w:rsid w:val="002476E0"/>
    <w:rsid w:val="00253EDF"/>
    <w:rsid w:val="002555F3"/>
    <w:rsid w:val="002900E1"/>
    <w:rsid w:val="002B65C3"/>
    <w:rsid w:val="002D777B"/>
    <w:rsid w:val="002E1D8A"/>
    <w:rsid w:val="002E4B9F"/>
    <w:rsid w:val="002F6A42"/>
    <w:rsid w:val="00310F39"/>
    <w:rsid w:val="00314434"/>
    <w:rsid w:val="003255FB"/>
    <w:rsid w:val="003326FF"/>
    <w:rsid w:val="00332962"/>
    <w:rsid w:val="00340D47"/>
    <w:rsid w:val="003436B4"/>
    <w:rsid w:val="00352C88"/>
    <w:rsid w:val="0035389A"/>
    <w:rsid w:val="00356B74"/>
    <w:rsid w:val="00391CF7"/>
    <w:rsid w:val="003A1B4A"/>
    <w:rsid w:val="003A4EF7"/>
    <w:rsid w:val="003B7BD5"/>
    <w:rsid w:val="003C18F9"/>
    <w:rsid w:val="003C1CF5"/>
    <w:rsid w:val="003C5305"/>
    <w:rsid w:val="003D69D3"/>
    <w:rsid w:val="003E6A1F"/>
    <w:rsid w:val="003F2782"/>
    <w:rsid w:val="003F496F"/>
    <w:rsid w:val="004007D5"/>
    <w:rsid w:val="00412A94"/>
    <w:rsid w:val="00420C37"/>
    <w:rsid w:val="00420FF3"/>
    <w:rsid w:val="00442771"/>
    <w:rsid w:val="0044556B"/>
    <w:rsid w:val="0045279E"/>
    <w:rsid w:val="0045315B"/>
    <w:rsid w:val="004864AA"/>
    <w:rsid w:val="00491223"/>
    <w:rsid w:val="004952CF"/>
    <w:rsid w:val="004A6C73"/>
    <w:rsid w:val="004A73F6"/>
    <w:rsid w:val="004B0706"/>
    <w:rsid w:val="004D059C"/>
    <w:rsid w:val="004D2DE4"/>
    <w:rsid w:val="004F4B57"/>
    <w:rsid w:val="00505BB2"/>
    <w:rsid w:val="0050620C"/>
    <w:rsid w:val="005063A1"/>
    <w:rsid w:val="00506909"/>
    <w:rsid w:val="00537FB4"/>
    <w:rsid w:val="0054172B"/>
    <w:rsid w:val="00550DB8"/>
    <w:rsid w:val="00564B45"/>
    <w:rsid w:val="005A6233"/>
    <w:rsid w:val="005A704B"/>
    <w:rsid w:val="005B0492"/>
    <w:rsid w:val="005B37F1"/>
    <w:rsid w:val="005B4763"/>
    <w:rsid w:val="005C2407"/>
    <w:rsid w:val="005D279B"/>
    <w:rsid w:val="005E76C3"/>
    <w:rsid w:val="005F277B"/>
    <w:rsid w:val="005F4D0D"/>
    <w:rsid w:val="005F4DBD"/>
    <w:rsid w:val="00650070"/>
    <w:rsid w:val="00690038"/>
    <w:rsid w:val="00695493"/>
    <w:rsid w:val="006A0418"/>
    <w:rsid w:val="006A5B3A"/>
    <w:rsid w:val="006B396A"/>
    <w:rsid w:val="006B4056"/>
    <w:rsid w:val="006C0CD3"/>
    <w:rsid w:val="006D3C91"/>
    <w:rsid w:val="006E3687"/>
    <w:rsid w:val="006F0CC6"/>
    <w:rsid w:val="006F39F6"/>
    <w:rsid w:val="00706120"/>
    <w:rsid w:val="00734316"/>
    <w:rsid w:val="00734D56"/>
    <w:rsid w:val="0074153B"/>
    <w:rsid w:val="007526AE"/>
    <w:rsid w:val="00775BA1"/>
    <w:rsid w:val="00777AC2"/>
    <w:rsid w:val="00783E20"/>
    <w:rsid w:val="007A7C0B"/>
    <w:rsid w:val="007C080E"/>
    <w:rsid w:val="007D2FA5"/>
    <w:rsid w:val="007D3F09"/>
    <w:rsid w:val="007D6C91"/>
    <w:rsid w:val="007F37E0"/>
    <w:rsid w:val="00802A13"/>
    <w:rsid w:val="00827D5E"/>
    <w:rsid w:val="00844101"/>
    <w:rsid w:val="0086503A"/>
    <w:rsid w:val="0086671D"/>
    <w:rsid w:val="0087435F"/>
    <w:rsid w:val="008807CA"/>
    <w:rsid w:val="00891232"/>
    <w:rsid w:val="008B5149"/>
    <w:rsid w:val="008B5AFD"/>
    <w:rsid w:val="008C4AEE"/>
    <w:rsid w:val="008C7310"/>
    <w:rsid w:val="008F1434"/>
    <w:rsid w:val="008F2DAD"/>
    <w:rsid w:val="008F614E"/>
    <w:rsid w:val="00906D97"/>
    <w:rsid w:val="0091623D"/>
    <w:rsid w:val="00925941"/>
    <w:rsid w:val="009526FD"/>
    <w:rsid w:val="00970864"/>
    <w:rsid w:val="00976AF1"/>
    <w:rsid w:val="00981F7C"/>
    <w:rsid w:val="0098446A"/>
    <w:rsid w:val="00986AFE"/>
    <w:rsid w:val="009A053B"/>
    <w:rsid w:val="009A1C80"/>
    <w:rsid w:val="009C6E52"/>
    <w:rsid w:val="009C7AAA"/>
    <w:rsid w:val="009D0E42"/>
    <w:rsid w:val="009D41C8"/>
    <w:rsid w:val="009D45E4"/>
    <w:rsid w:val="009D498D"/>
    <w:rsid w:val="009F67D6"/>
    <w:rsid w:val="00A138CC"/>
    <w:rsid w:val="00A13F0E"/>
    <w:rsid w:val="00A14A84"/>
    <w:rsid w:val="00A14B19"/>
    <w:rsid w:val="00A215AE"/>
    <w:rsid w:val="00A25E67"/>
    <w:rsid w:val="00A26105"/>
    <w:rsid w:val="00A31B3B"/>
    <w:rsid w:val="00A52B56"/>
    <w:rsid w:val="00A72143"/>
    <w:rsid w:val="00A73498"/>
    <w:rsid w:val="00A73D48"/>
    <w:rsid w:val="00A926A9"/>
    <w:rsid w:val="00A95F43"/>
    <w:rsid w:val="00AC6B80"/>
    <w:rsid w:val="00AD1A89"/>
    <w:rsid w:val="00AD20BC"/>
    <w:rsid w:val="00AD77DC"/>
    <w:rsid w:val="00AE5662"/>
    <w:rsid w:val="00B00DE8"/>
    <w:rsid w:val="00B1094E"/>
    <w:rsid w:val="00B124DB"/>
    <w:rsid w:val="00B40099"/>
    <w:rsid w:val="00B70CAF"/>
    <w:rsid w:val="00B86016"/>
    <w:rsid w:val="00B91D94"/>
    <w:rsid w:val="00BA2481"/>
    <w:rsid w:val="00BA5247"/>
    <w:rsid w:val="00BB73A9"/>
    <w:rsid w:val="00BB7DC6"/>
    <w:rsid w:val="00BC0398"/>
    <w:rsid w:val="00BC317A"/>
    <w:rsid w:val="00BC488A"/>
    <w:rsid w:val="00BC7290"/>
    <w:rsid w:val="00BD38B2"/>
    <w:rsid w:val="00BD766F"/>
    <w:rsid w:val="00C005F5"/>
    <w:rsid w:val="00C11795"/>
    <w:rsid w:val="00C22CBE"/>
    <w:rsid w:val="00C24CF0"/>
    <w:rsid w:val="00C34F87"/>
    <w:rsid w:val="00C44B3D"/>
    <w:rsid w:val="00C45A1A"/>
    <w:rsid w:val="00C55E7E"/>
    <w:rsid w:val="00C71015"/>
    <w:rsid w:val="00C716E9"/>
    <w:rsid w:val="00C748EB"/>
    <w:rsid w:val="00CB1D8D"/>
    <w:rsid w:val="00CB648C"/>
    <w:rsid w:val="00CD12E7"/>
    <w:rsid w:val="00CE7D38"/>
    <w:rsid w:val="00D01223"/>
    <w:rsid w:val="00D0360C"/>
    <w:rsid w:val="00D03C3C"/>
    <w:rsid w:val="00D3100F"/>
    <w:rsid w:val="00D427D8"/>
    <w:rsid w:val="00D53885"/>
    <w:rsid w:val="00D73F54"/>
    <w:rsid w:val="00D749F9"/>
    <w:rsid w:val="00D85EC4"/>
    <w:rsid w:val="00DA4BC5"/>
    <w:rsid w:val="00DB50BA"/>
    <w:rsid w:val="00DC3261"/>
    <w:rsid w:val="00DE6EDE"/>
    <w:rsid w:val="00DF39C7"/>
    <w:rsid w:val="00DF5688"/>
    <w:rsid w:val="00E157F9"/>
    <w:rsid w:val="00E34BF6"/>
    <w:rsid w:val="00E36A91"/>
    <w:rsid w:val="00E42632"/>
    <w:rsid w:val="00E5272B"/>
    <w:rsid w:val="00E71065"/>
    <w:rsid w:val="00E73159"/>
    <w:rsid w:val="00E9714E"/>
    <w:rsid w:val="00EC1CF6"/>
    <w:rsid w:val="00ED78F2"/>
    <w:rsid w:val="00EE5841"/>
    <w:rsid w:val="00F114C2"/>
    <w:rsid w:val="00F30E87"/>
    <w:rsid w:val="00F3198A"/>
    <w:rsid w:val="00F372B2"/>
    <w:rsid w:val="00F401F5"/>
    <w:rsid w:val="00F40793"/>
    <w:rsid w:val="00F477D0"/>
    <w:rsid w:val="00F55166"/>
    <w:rsid w:val="00F55A0B"/>
    <w:rsid w:val="00F74633"/>
    <w:rsid w:val="00F8159D"/>
    <w:rsid w:val="00F91119"/>
    <w:rsid w:val="00FA47D7"/>
    <w:rsid w:val="00FA6B1E"/>
    <w:rsid w:val="00FB1A3E"/>
    <w:rsid w:val="00FD2E82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6243"/>
  <w15:docId w15:val="{3FC58F33-01C8-46BB-B118-BD0334FA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D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099"/>
  </w:style>
  <w:style w:type="paragraph" w:styleId="a6">
    <w:name w:val="footer"/>
    <w:basedOn w:val="a"/>
    <w:link w:val="a7"/>
    <w:uiPriority w:val="99"/>
    <w:unhideWhenUsed/>
    <w:rsid w:val="00B4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099"/>
  </w:style>
  <w:style w:type="character" w:customStyle="1" w:styleId="10">
    <w:name w:val="Заголовок 1 Знак"/>
    <w:basedOn w:val="a0"/>
    <w:link w:val="1"/>
    <w:uiPriority w:val="9"/>
    <w:rsid w:val="00F55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F5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55A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5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A0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D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C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 Андрей Александрович</dc:creator>
  <cp:keywords/>
  <dc:description/>
  <cp:lastModifiedBy>Бурлак Андрей Александрович</cp:lastModifiedBy>
  <cp:revision>31</cp:revision>
  <cp:lastPrinted>2018-08-30T14:29:00Z</cp:lastPrinted>
  <dcterms:created xsi:type="dcterms:W3CDTF">2019-08-27T18:09:00Z</dcterms:created>
  <dcterms:modified xsi:type="dcterms:W3CDTF">2019-08-30T11:00:00Z</dcterms:modified>
</cp:coreProperties>
</file>